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A51" w:rsidRDefault="00575B34">
      <w:pPr>
        <w:pStyle w:val="Vchozstylkresby"/>
        <w:spacing w:after="120" w:line="216" w:lineRule="auto"/>
        <w:jc w:val="center"/>
        <w:rPr>
          <w:rFonts w:ascii="Times New Roman" w:hAnsi="Times New Roman"/>
          <w:sz w:val="32"/>
          <w:szCs w:val="32"/>
          <w:lang w:val="en-GB"/>
        </w:rPr>
      </w:pPr>
      <w:bookmarkStart w:id="0" w:name="_GoBack"/>
      <w:bookmarkEnd w:id="0"/>
      <w:r>
        <w:rPr>
          <w:rFonts w:ascii="Times New Roman" w:hAnsi="Times New Roman" w:cs="Times New Roman"/>
          <w:b/>
          <w:sz w:val="32"/>
          <w:szCs w:val="32"/>
          <w:lang w:val="en-GB"/>
        </w:rPr>
        <w:t xml:space="preserve">Engineering of </w:t>
      </w:r>
      <w:r>
        <w:rPr>
          <w:rFonts w:ascii="Times New Roman" w:hAnsi="Times New Roman"/>
          <w:b/>
          <w:sz w:val="32"/>
          <w:szCs w:val="32"/>
          <w:lang w:val="en-GB"/>
        </w:rPr>
        <w:t xml:space="preserve">ultrafast scintillating </w:t>
      </w:r>
      <w:proofErr w:type="spellStart"/>
      <w:r>
        <w:rPr>
          <w:rFonts w:ascii="Times New Roman" w:hAnsi="Times New Roman"/>
          <w:b/>
          <w:sz w:val="32"/>
          <w:szCs w:val="32"/>
          <w:lang w:val="en-GB"/>
        </w:rPr>
        <w:t>ZnO</w:t>
      </w:r>
      <w:proofErr w:type="spellEnd"/>
      <w:r>
        <w:rPr>
          <w:rFonts w:ascii="Times New Roman" w:hAnsi="Times New Roman"/>
          <w:b/>
          <w:sz w:val="32"/>
          <w:szCs w:val="32"/>
          <w:lang w:val="en-GB"/>
        </w:rPr>
        <w:t xml:space="preserve"> </w:t>
      </w:r>
      <w:proofErr w:type="spellStart"/>
      <w:r>
        <w:rPr>
          <w:rFonts w:ascii="Times New Roman" w:hAnsi="Times New Roman"/>
          <w:b/>
          <w:sz w:val="32"/>
          <w:szCs w:val="32"/>
          <w:lang w:val="en-GB"/>
        </w:rPr>
        <w:t>nano</w:t>
      </w:r>
      <w:proofErr w:type="spellEnd"/>
      <w:r>
        <w:rPr>
          <w:rFonts w:ascii="Times New Roman" w:hAnsi="Times New Roman"/>
          <w:b/>
          <w:sz w:val="32"/>
          <w:szCs w:val="32"/>
          <w:lang w:val="en-GB"/>
        </w:rPr>
        <w:t>- and microrods for the time-of-flight applications</w:t>
      </w:r>
    </w:p>
    <w:p w:rsidR="00E37A51" w:rsidRDefault="00E37A51">
      <w:pPr>
        <w:pStyle w:val="Vchozstylkresby"/>
        <w:spacing w:after="120" w:line="216" w:lineRule="auto"/>
        <w:jc w:val="center"/>
        <w:rPr>
          <w:rFonts w:ascii="Times New Roman" w:hAnsi="Times New Roman"/>
          <w:sz w:val="32"/>
          <w:szCs w:val="32"/>
          <w:lang w:val="en-GB"/>
        </w:rPr>
      </w:pPr>
    </w:p>
    <w:p w:rsidR="00E37A51" w:rsidRDefault="00575B34">
      <w:pPr>
        <w:tabs>
          <w:tab w:val="left" w:pos="188"/>
        </w:tabs>
        <w:spacing w:after="0" w:line="240" w:lineRule="auto"/>
        <w:contextualSpacing/>
        <w:jc w:val="both"/>
        <w:rPr>
          <w:rFonts w:ascii="Times New Roman" w:hAnsi="Times New Roman"/>
        </w:rPr>
      </w:pPr>
      <w:r>
        <w:rPr>
          <w:rFonts w:ascii="Times New Roman" w:hAnsi="Times New Roman" w:cs="Times New Roman"/>
        </w:rPr>
        <w:t xml:space="preserve">A scintillating material exposed to ionising radiation transforms the incoming energy of photons of X or </w:t>
      </w:r>
      <w:r>
        <w:rPr>
          <w:rFonts w:ascii="Times New Roman" w:eastAsia="Symbol" w:hAnsi="Times New Roman" w:cs="Symbol"/>
        </w:rPr>
        <w:t>γ</w:t>
      </w:r>
      <w:r>
        <w:rPr>
          <w:rFonts w:ascii="Times New Roman" w:hAnsi="Times New Roman" w:cs="Times New Roman"/>
        </w:rPr>
        <w:t xml:space="preserve">-rays or particles (protons, electrons, neutrons, </w:t>
      </w:r>
      <w:r>
        <w:rPr>
          <w:rFonts w:ascii="Times New Roman" w:eastAsia="Symbol" w:hAnsi="Times New Roman" w:cs="Symbol"/>
        </w:rPr>
        <w:t>α</w:t>
      </w:r>
      <w:r>
        <w:rPr>
          <w:rFonts w:ascii="Times New Roman" w:hAnsi="Times New Roman" w:cs="Times New Roman"/>
        </w:rPr>
        <w:t>-particles, etc.) into ultraviolet (UV)/visible photons which are detected by an ordinary photomultiplier or semiconductor detectors. One of t</w:t>
      </w:r>
      <w:r>
        <w:rPr>
          <w:rFonts w:ascii="Times New Roman" w:hAnsi="Times New Roman" w:cs="Arial"/>
        </w:rPr>
        <w:t>he most important fields of the scintillators application is di</w:t>
      </w:r>
      <w:r>
        <w:rPr>
          <w:rFonts w:ascii="Times New Roman" w:hAnsi="Times New Roman" w:cs="Arial"/>
        </w:rPr>
        <w:t xml:space="preserve">seases diagnostics techniques. In particular, these are modern medical imaging methods: computer tomography (CT) and positron emission tomography (PET). In the case of the latter, the technology went even farther leading to the invention of the incredibly </w:t>
      </w:r>
      <w:r>
        <w:rPr>
          <w:rFonts w:ascii="Times New Roman" w:hAnsi="Times New Roman" w:cs="Arial"/>
        </w:rPr>
        <w:t xml:space="preserve">sensitive time-of-flight (TOF) PET. PET, in general, is based on the </w:t>
      </w:r>
      <w:r>
        <w:rPr>
          <w:rFonts w:ascii="Times New Roman" w:eastAsia="Symbol" w:hAnsi="Times New Roman" w:cs="Symbol"/>
        </w:rPr>
        <w:t>γ</w:t>
      </w:r>
      <w:r>
        <w:rPr>
          <w:rFonts w:ascii="Times New Roman" w:hAnsi="Times New Roman" w:cs="Times New Roman"/>
        </w:rPr>
        <w:t>-rays detection produced by the electron-positron annihilation.</w:t>
      </w:r>
      <w:r>
        <w:rPr>
          <w:rFonts w:ascii="Times New Roman" w:hAnsi="Times New Roman" w:cs="Arial"/>
        </w:rPr>
        <w:t xml:space="preserve"> This put certain constraints on the radiation detectors  to be used. They should </w:t>
      </w:r>
      <w:proofErr w:type="spellStart"/>
      <w:r>
        <w:rPr>
          <w:rFonts w:ascii="Times New Roman" w:hAnsi="Times New Roman" w:cs="Arial"/>
        </w:rPr>
        <w:t>posses</w:t>
      </w:r>
      <w:proofErr w:type="spellEnd"/>
      <w:r>
        <w:rPr>
          <w:rFonts w:ascii="Times New Roman" w:hAnsi="Times New Roman" w:cs="Arial"/>
        </w:rPr>
        <w:t xml:space="preserve"> large response rate and high light</w:t>
      </w:r>
      <w:r>
        <w:rPr>
          <w:rFonts w:ascii="Times New Roman" w:hAnsi="Times New Roman" w:cs="Arial"/>
        </w:rPr>
        <w:t xml:space="preserve"> yield to prevent a patient from negative consequences of large radiation dose. </w:t>
      </w:r>
      <w:r>
        <w:rPr>
          <w:rFonts w:ascii="Times New Roman" w:hAnsi="Times New Roman" w:cs="Arial"/>
        </w:rPr>
        <w:t>One of the eligible candidates is z</w:t>
      </w:r>
      <w:r>
        <w:rPr>
          <w:rFonts w:ascii="Times New Roman" w:hAnsi="Times New Roman" w:cs="Arial"/>
          <w:color w:val="000000" w:themeColor="text1"/>
        </w:rPr>
        <w:t>inc oxide (</w:t>
      </w:r>
      <w:proofErr w:type="spellStart"/>
      <w:r>
        <w:rPr>
          <w:rFonts w:ascii="Times New Roman" w:hAnsi="Times New Roman" w:cs="Arial"/>
          <w:color w:val="000000" w:themeColor="text1"/>
        </w:rPr>
        <w:t>ZnO</w:t>
      </w:r>
      <w:proofErr w:type="spellEnd"/>
      <w:r>
        <w:rPr>
          <w:rFonts w:ascii="Times New Roman" w:hAnsi="Times New Roman" w:cs="Arial"/>
          <w:color w:val="000000" w:themeColor="text1"/>
        </w:rPr>
        <w:t>) in the form of nanostructures as it exhibits excellent timing properties. Typically, the nanorods grown using hydrothermal me</w:t>
      </w:r>
      <w:r>
        <w:rPr>
          <w:rFonts w:ascii="Times New Roman" w:hAnsi="Times New Roman" w:cs="Arial"/>
          <w:color w:val="000000" w:themeColor="text1"/>
        </w:rPr>
        <w:t>thod generate luminescence composed of two contributions. The first one is the ultrafast narrow UV exciton emission band with the maximum at about 3.25-3.4 eV, depending on morphology and size, and decay time of the order of 500 ps. The second one is a ver</w:t>
      </w:r>
      <w:r>
        <w:rPr>
          <w:rFonts w:ascii="Times New Roman" w:hAnsi="Times New Roman" w:cs="Arial"/>
          <w:color w:val="000000" w:themeColor="text1"/>
        </w:rPr>
        <w:t xml:space="preserve">y broad red defect-related band with the maximum at 1.8-2.1 eV and the decay time of the order of microseconds.  Doping with Mo, </w:t>
      </w:r>
      <w:proofErr w:type="spellStart"/>
      <w:r>
        <w:rPr>
          <w:rFonts w:ascii="Times New Roman" w:hAnsi="Times New Roman" w:cs="Arial"/>
          <w:color w:val="000000" w:themeColor="text1"/>
        </w:rPr>
        <w:t>Er</w:t>
      </w:r>
      <w:proofErr w:type="spellEnd"/>
      <w:r>
        <w:rPr>
          <w:rFonts w:ascii="Times New Roman" w:hAnsi="Times New Roman" w:cs="Arial"/>
          <w:color w:val="000000" w:themeColor="text1"/>
        </w:rPr>
        <w:t xml:space="preserve"> or Ga affects both bands. Moreover, </w:t>
      </w:r>
      <w:bookmarkStart w:id="1" w:name="_Hlk100009334"/>
      <w:r>
        <w:rPr>
          <w:rFonts w:ascii="Times New Roman" w:hAnsi="Times New Roman" w:cs="Arial"/>
          <w:color w:val="000000" w:themeColor="text1"/>
        </w:rPr>
        <w:t xml:space="preserve">the incorporation of these ions into the </w:t>
      </w:r>
      <w:proofErr w:type="spellStart"/>
      <w:r>
        <w:rPr>
          <w:rFonts w:ascii="Times New Roman" w:hAnsi="Times New Roman" w:cs="Arial"/>
          <w:color w:val="000000" w:themeColor="text1"/>
        </w:rPr>
        <w:t>ZnO</w:t>
      </w:r>
      <w:proofErr w:type="spellEnd"/>
      <w:r>
        <w:rPr>
          <w:rFonts w:ascii="Times New Roman" w:hAnsi="Times New Roman" w:cs="Arial"/>
          <w:color w:val="000000" w:themeColor="text1"/>
        </w:rPr>
        <w:t xml:space="preserve"> nanorods and their influence on morphology </w:t>
      </w:r>
      <w:r>
        <w:rPr>
          <w:rFonts w:ascii="Times New Roman" w:hAnsi="Times New Roman" w:cs="Arial"/>
          <w:color w:val="000000" w:themeColor="text1"/>
        </w:rPr>
        <w:t xml:space="preserve">of the </w:t>
      </w:r>
      <w:proofErr w:type="spellStart"/>
      <w:r>
        <w:rPr>
          <w:rFonts w:ascii="Times New Roman" w:hAnsi="Times New Roman" w:cs="Arial"/>
          <w:color w:val="000000" w:themeColor="text1"/>
        </w:rPr>
        <w:t>ZnO</w:t>
      </w:r>
      <w:proofErr w:type="spellEnd"/>
      <w:r>
        <w:rPr>
          <w:rFonts w:ascii="Times New Roman" w:hAnsi="Times New Roman" w:cs="Arial"/>
          <w:color w:val="000000" w:themeColor="text1"/>
        </w:rPr>
        <w:t xml:space="preserve"> nanorods as well as other physical and chemical properties is discussed. In particular, the segregation coefficient for each type of the dopant and the size of nanorods were different. Erbium or molybdenum charge state as well as the localizatio</w:t>
      </w:r>
      <w:r>
        <w:rPr>
          <w:rFonts w:ascii="Times New Roman" w:hAnsi="Times New Roman" w:cs="Arial"/>
          <w:color w:val="000000" w:themeColor="text1"/>
        </w:rPr>
        <w:t xml:space="preserve">n of these ions in the </w:t>
      </w:r>
      <w:proofErr w:type="spellStart"/>
      <w:r>
        <w:rPr>
          <w:rFonts w:ascii="Times New Roman" w:hAnsi="Times New Roman" w:cs="Arial"/>
          <w:color w:val="000000" w:themeColor="text1"/>
        </w:rPr>
        <w:t>ZnO</w:t>
      </w:r>
      <w:proofErr w:type="spellEnd"/>
      <w:r>
        <w:rPr>
          <w:rFonts w:ascii="Times New Roman" w:hAnsi="Times New Roman" w:cs="Arial"/>
          <w:color w:val="000000" w:themeColor="text1"/>
        </w:rPr>
        <w:t xml:space="preserve"> host have been</w:t>
      </w:r>
      <w:bookmarkEnd w:id="1"/>
      <w:r>
        <w:rPr>
          <w:rFonts w:ascii="Times New Roman" w:hAnsi="Times New Roman" w:cs="Arial"/>
          <w:color w:val="000000" w:themeColor="text1"/>
        </w:rPr>
        <w:t xml:space="preserve"> determined. The influence of the postgrowth treatment on the dopant charge state and luminescence (including kinetics) has been clarified. It should also be noted that the growth conditions (e.g., the precursor age</w:t>
      </w:r>
      <w:r>
        <w:rPr>
          <w:rFonts w:ascii="Times New Roman" w:hAnsi="Times New Roman" w:cs="Arial"/>
          <w:color w:val="000000" w:themeColor="text1"/>
        </w:rPr>
        <w:t>) also changed the physical properties of the zinc oxide nanorods.</w:t>
      </w:r>
    </w:p>
    <w:sectPr w:rsidR="00E37A5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w:altName w:val="Cambria"/>
    <w:charset w:val="EE"/>
    <w:family w:val="roman"/>
    <w:pitch w:val="variable"/>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51"/>
    <w:rsid w:val="00575B34"/>
    <w:rsid w:val="00E37A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A9A7B-2721-48ED-B1E0-94542BA9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55E3"/>
    <w:pPr>
      <w:spacing w:after="200" w:line="276" w:lineRule="auto"/>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dpis">
    <w:name w:val="Nadpis"/>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Rejstk">
    <w:name w:val="Rejstřík"/>
    <w:basedOn w:val="Normalny"/>
    <w:qFormat/>
    <w:pPr>
      <w:suppressLineNumbers/>
    </w:pPr>
    <w:rPr>
      <w:rFonts w:cs="Lucida Sans"/>
      <w:lang/>
    </w:rPr>
  </w:style>
  <w:style w:type="paragraph" w:customStyle="1" w:styleId="Vchozstylkresby">
    <w:name w:val="Výchozí styl kresby"/>
    <w:qFormat/>
    <w:pPr>
      <w:spacing w:line="200" w:lineRule="atLeast"/>
    </w:pPr>
    <w:rPr>
      <w:rFonts w:ascii="Lucida Sans" w:eastAsia="Tahoma" w:hAnsi="Lucida Sans" w:cs="Arial"/>
      <w:kern w:val="2"/>
      <w:sz w:val="36"/>
      <w:szCs w:val="24"/>
    </w:rPr>
  </w:style>
  <w:style w:type="paragraph" w:customStyle="1" w:styleId="Objektbezvpln">
    <w:name w:val="Objekt bez výplně"/>
    <w:basedOn w:val="Vchozstylkresby"/>
    <w:qFormat/>
  </w:style>
  <w:style w:type="paragraph" w:customStyle="1" w:styleId="Objektbezvplnaobrysu">
    <w:name w:val="Objekt bez výplně a obrysu"/>
    <w:basedOn w:val="Vchozstylkresby"/>
    <w:qFormat/>
  </w:style>
  <w:style w:type="paragraph" w:customStyle="1" w:styleId="A4">
    <w:name w:val="A4"/>
    <w:basedOn w:val="Text"/>
    <w:qFormat/>
    <w:rPr>
      <w:rFonts w:ascii="Noto Sans" w:hAnsi="Noto Sans"/>
      <w:sz w:val="36"/>
    </w:rPr>
  </w:style>
  <w:style w:type="paragraph" w:customStyle="1" w:styleId="Text">
    <w:name w:val="Text"/>
    <w:basedOn w:val="Legenda"/>
    <w:qFormat/>
  </w:style>
  <w:style w:type="paragraph" w:customStyle="1" w:styleId="TitulekA4">
    <w:name w:val="Titulek A4"/>
    <w:basedOn w:val="A4"/>
    <w:qFormat/>
    <w:rPr>
      <w:sz w:val="87"/>
    </w:rPr>
  </w:style>
  <w:style w:type="paragraph" w:customStyle="1" w:styleId="NadpisA4">
    <w:name w:val="Nadpis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ulekA0">
    <w:name w:val="Titulek A0"/>
    <w:basedOn w:val="A0"/>
    <w:qFormat/>
    <w:rPr>
      <w:sz w:val="191"/>
    </w:rPr>
  </w:style>
  <w:style w:type="paragraph" w:customStyle="1" w:styleId="NadpisA0">
    <w:name w:val="Nadpis A0"/>
    <w:basedOn w:val="A0"/>
    <w:qFormat/>
    <w:rPr>
      <w:sz w:val="143"/>
    </w:rPr>
  </w:style>
  <w:style w:type="paragraph" w:customStyle="1" w:styleId="TextA0">
    <w:name w:val="Text A0"/>
    <w:basedOn w:val="A0"/>
    <w:qFormat/>
  </w:style>
  <w:style w:type="paragraph" w:customStyle="1" w:styleId="Tvary">
    <w:name w:val="Tvary"/>
    <w:basedOn w:val="Obrzek"/>
    <w:qFormat/>
    <w:rPr>
      <w:rFonts w:ascii="Liberation Sans" w:hAnsi="Liberation Sans"/>
      <w:b/>
      <w:sz w:val="28"/>
    </w:rPr>
  </w:style>
  <w:style w:type="paragraph" w:customStyle="1" w:styleId="Obrzek">
    <w:name w:val="Obrázek"/>
    <w:basedOn w:val="Legenda"/>
    <w:qFormat/>
  </w:style>
  <w:style w:type="paragraph" w:customStyle="1" w:styleId="Svpln">
    <w:name w:val="S výplní"/>
    <w:basedOn w:val="Tvary"/>
    <w:qFormat/>
  </w:style>
  <w:style w:type="paragraph" w:customStyle="1" w:styleId="Modrvpl">
    <w:name w:val="Modrá výplň"/>
    <w:basedOn w:val="Svpln"/>
    <w:qFormat/>
    <w:rPr>
      <w:color w:val="FFFFFF"/>
    </w:rPr>
  </w:style>
  <w:style w:type="paragraph" w:customStyle="1" w:styleId="Zelenvpl">
    <w:name w:val="Zelená výplň"/>
    <w:basedOn w:val="Svpln"/>
    <w:qFormat/>
    <w:rPr>
      <w:color w:val="FFFFFF"/>
    </w:rPr>
  </w:style>
  <w:style w:type="paragraph" w:customStyle="1" w:styleId="ervenvpl">
    <w:name w:val="Červená výplň"/>
    <w:basedOn w:val="Svpln"/>
    <w:qFormat/>
    <w:rPr>
      <w:color w:val="FFFFFF"/>
    </w:rPr>
  </w:style>
  <w:style w:type="paragraph" w:customStyle="1" w:styleId="lutvpl">
    <w:name w:val="Žlutá výplň"/>
    <w:basedOn w:val="Svpln"/>
    <w:qFormat/>
    <w:rPr>
      <w:color w:val="FFFFFF"/>
    </w:rPr>
  </w:style>
  <w:style w:type="paragraph" w:customStyle="1" w:styleId="Sobrysem">
    <w:name w:val="S obrysem"/>
    <w:basedOn w:val="Tvary"/>
    <w:qFormat/>
  </w:style>
  <w:style w:type="paragraph" w:customStyle="1" w:styleId="Modrobrys">
    <w:name w:val="Modrý obrys"/>
    <w:basedOn w:val="Sobrysem"/>
    <w:qFormat/>
    <w:rPr>
      <w:color w:val="355269"/>
    </w:rPr>
  </w:style>
  <w:style w:type="paragraph" w:customStyle="1" w:styleId="Zelenobrys">
    <w:name w:val="Zelený obrys"/>
    <w:basedOn w:val="Sobrysem"/>
    <w:qFormat/>
    <w:rPr>
      <w:color w:val="127622"/>
    </w:rPr>
  </w:style>
  <w:style w:type="paragraph" w:customStyle="1" w:styleId="ervenobrys">
    <w:name w:val="Červený obrys"/>
    <w:basedOn w:val="Sobrysem"/>
    <w:qFormat/>
    <w:rPr>
      <w:color w:val="C9211E"/>
    </w:rPr>
  </w:style>
  <w:style w:type="paragraph" w:customStyle="1" w:styleId="lutobrys">
    <w:name w:val="Žlutý obrys"/>
    <w:basedOn w:val="Sobrysem"/>
    <w:qFormat/>
    <w:rPr>
      <w:color w:val="B47804"/>
    </w:rPr>
  </w:style>
  <w:style w:type="paragraph" w:customStyle="1" w:styleId="ry">
    <w:name w:val="Čáry"/>
    <w:basedOn w:val="Obrzek"/>
    <w:qFormat/>
    <w:rPr>
      <w:rFonts w:ascii="Liberation Sans" w:hAnsi="Liberation Sans"/>
      <w:sz w:val="36"/>
    </w:rPr>
  </w:style>
  <w:style w:type="paragraph" w:customStyle="1" w:styleId="raseipkou">
    <w:name w:val="Čára se šipkou"/>
    <w:basedOn w:val="ry"/>
    <w:qFormat/>
  </w:style>
  <w:style w:type="paragraph" w:customStyle="1" w:styleId="rkovanra">
    <w:name w:val="Čárkovaná čára"/>
    <w:basedOn w:val="ry"/>
    <w:qFormat/>
  </w:style>
  <w:style w:type="paragraph" w:customStyle="1" w:styleId="BlankSlideLTGliederung1">
    <w:name w:val="Blank Slide~LT~Gliederung 1"/>
    <w:qFormat/>
    <w:pPr>
      <w:spacing w:before="283" w:line="259" w:lineRule="auto"/>
    </w:pPr>
    <w:rPr>
      <w:rFonts w:ascii="Lucida Sans" w:eastAsia="Tahoma" w:hAnsi="Lucida Sans" w:cs="Arial"/>
      <w:kern w:val="2"/>
      <w:sz w:val="64"/>
      <w:szCs w:val="2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spacing w:after="160" w:line="259" w:lineRule="auto"/>
      <w:jc w:val="center"/>
    </w:pPr>
    <w:rPr>
      <w:rFonts w:ascii="Lucida Sans" w:eastAsia="Tahoma" w:hAnsi="Lucida Sans" w:cs="Arial"/>
      <w:kern w:val="2"/>
      <w:sz w:val="88"/>
      <w:szCs w:val="24"/>
    </w:rPr>
  </w:style>
  <w:style w:type="paragraph" w:customStyle="1" w:styleId="BlankSlideLTUntertitel">
    <w:name w:val="Blank Slide~LT~Untertitel"/>
    <w:qFormat/>
    <w:pPr>
      <w:spacing w:after="160" w:line="259" w:lineRule="auto"/>
      <w:jc w:val="center"/>
    </w:pPr>
    <w:rPr>
      <w:rFonts w:ascii="Lucida Sans" w:eastAsia="Tahoma" w:hAnsi="Lucida Sans" w:cs="Arial"/>
      <w:kern w:val="2"/>
      <w:sz w:val="64"/>
      <w:szCs w:val="24"/>
    </w:rPr>
  </w:style>
  <w:style w:type="paragraph" w:customStyle="1" w:styleId="BlankSlideLTNotizen">
    <w:name w:val="Blank Slide~LT~Notizen"/>
    <w:qFormat/>
    <w:pPr>
      <w:spacing w:after="160" w:line="259" w:lineRule="auto"/>
      <w:ind w:left="340" w:hanging="340"/>
    </w:pPr>
    <w:rPr>
      <w:rFonts w:ascii="Lucida Sans" w:eastAsia="Tahoma" w:hAnsi="Lucida Sans" w:cs="Arial"/>
      <w:kern w:val="2"/>
      <w:sz w:val="40"/>
      <w:szCs w:val="24"/>
    </w:rPr>
  </w:style>
  <w:style w:type="paragraph" w:customStyle="1" w:styleId="BlankSlideLTHintergrundobjekte">
    <w:name w:val="Blank Slide~LT~Hintergrundobjekte"/>
    <w:qFormat/>
    <w:pPr>
      <w:spacing w:after="160" w:line="259" w:lineRule="auto"/>
    </w:pPr>
    <w:rPr>
      <w:rFonts w:ascii="Liberation Serif" w:eastAsia="Tahoma" w:hAnsi="Liberation Serif" w:cs="Arial"/>
      <w:kern w:val="2"/>
      <w:sz w:val="24"/>
      <w:szCs w:val="24"/>
    </w:rPr>
  </w:style>
  <w:style w:type="paragraph" w:customStyle="1" w:styleId="BlankSlideLTHintergrund">
    <w:name w:val="Blank Slide~LT~Hintergrund"/>
    <w:qFormat/>
    <w:pPr>
      <w:spacing w:after="160" w:line="259" w:lineRule="auto"/>
    </w:pPr>
    <w:rPr>
      <w:rFonts w:ascii="Liberation Serif" w:eastAsia="Tahoma" w:hAnsi="Liberation Serif" w:cs="Arial"/>
      <w:kern w:val="2"/>
      <w:sz w:val="24"/>
      <w:szCs w:val="24"/>
    </w:rPr>
  </w:style>
  <w:style w:type="paragraph" w:customStyle="1" w:styleId="default">
    <w:name w:val="default"/>
    <w:qFormat/>
    <w:pPr>
      <w:spacing w:line="200" w:lineRule="atLeast"/>
    </w:pPr>
    <w:rPr>
      <w:rFonts w:ascii="Lucida Sans" w:eastAsia="Tahoma" w:hAnsi="Lucida Sans" w:cs="Arial"/>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Podnadpis">
    <w:name w:val="Podnadpis"/>
    <w:qFormat/>
    <w:pPr>
      <w:spacing w:after="160" w:line="259" w:lineRule="auto"/>
      <w:jc w:val="center"/>
    </w:pPr>
    <w:rPr>
      <w:rFonts w:ascii="Lucida Sans" w:eastAsia="Tahoma" w:hAnsi="Lucida Sans" w:cs="Arial"/>
      <w:kern w:val="2"/>
      <w:sz w:val="64"/>
      <w:szCs w:val="24"/>
    </w:rPr>
  </w:style>
  <w:style w:type="paragraph" w:customStyle="1" w:styleId="Objektypozad">
    <w:name w:val="Objekty pozadí"/>
    <w:qFormat/>
    <w:pPr>
      <w:spacing w:after="160" w:line="259" w:lineRule="auto"/>
    </w:pPr>
    <w:rPr>
      <w:rFonts w:ascii="Liberation Serif" w:eastAsia="Tahoma" w:hAnsi="Liberation Serif" w:cs="Arial"/>
      <w:kern w:val="2"/>
      <w:sz w:val="24"/>
      <w:szCs w:val="24"/>
    </w:rPr>
  </w:style>
  <w:style w:type="paragraph" w:customStyle="1" w:styleId="Pozad">
    <w:name w:val="Pozadí"/>
    <w:qFormat/>
    <w:pPr>
      <w:spacing w:after="160" w:line="259" w:lineRule="auto"/>
    </w:pPr>
    <w:rPr>
      <w:rFonts w:ascii="Liberation Serif" w:eastAsia="Tahoma" w:hAnsi="Liberation Serif" w:cs="Arial"/>
      <w:kern w:val="2"/>
      <w:sz w:val="24"/>
      <w:szCs w:val="24"/>
    </w:rPr>
  </w:style>
  <w:style w:type="paragraph" w:customStyle="1" w:styleId="Poznmky">
    <w:name w:val="Poznámky"/>
    <w:qFormat/>
    <w:pPr>
      <w:spacing w:after="160" w:line="259" w:lineRule="auto"/>
      <w:ind w:left="340" w:hanging="340"/>
    </w:pPr>
    <w:rPr>
      <w:rFonts w:ascii="Lucida Sans" w:eastAsia="Tahoma" w:hAnsi="Lucida Sans" w:cs="Arial"/>
      <w:kern w:val="2"/>
      <w:sz w:val="40"/>
      <w:szCs w:val="24"/>
    </w:rPr>
  </w:style>
  <w:style w:type="paragraph" w:customStyle="1" w:styleId="Osnova1">
    <w:name w:val="Osnova 1"/>
    <w:qFormat/>
    <w:pPr>
      <w:spacing w:before="283" w:line="259" w:lineRule="auto"/>
    </w:pPr>
    <w:rPr>
      <w:rFonts w:ascii="Lucida Sans" w:eastAsia="Tahoma" w:hAnsi="Lucida Sans" w:cs="Arial"/>
      <w:kern w:val="2"/>
      <w:sz w:val="64"/>
      <w:szCs w:val="24"/>
    </w:rPr>
  </w:style>
  <w:style w:type="paragraph" w:customStyle="1" w:styleId="Osnova2">
    <w:name w:val="Osnova 2"/>
    <w:basedOn w:val="Osnova1"/>
    <w:qFormat/>
    <w:pPr>
      <w:spacing w:before="227"/>
    </w:pPr>
    <w:rPr>
      <w:sz w:val="56"/>
    </w:rPr>
  </w:style>
  <w:style w:type="paragraph" w:customStyle="1" w:styleId="Osnova3">
    <w:name w:val="Osnova 3"/>
    <w:basedOn w:val="Osnova2"/>
    <w:qFormat/>
    <w:pPr>
      <w:spacing w:before="170"/>
    </w:pPr>
    <w:rPr>
      <w:sz w:val="48"/>
    </w:rPr>
  </w:style>
  <w:style w:type="paragraph" w:customStyle="1" w:styleId="Osnova4">
    <w:name w:val="Osnova 4"/>
    <w:basedOn w:val="Osnova3"/>
    <w:qFormat/>
    <w:pPr>
      <w:spacing w:before="113"/>
    </w:pPr>
    <w:rPr>
      <w:sz w:val="40"/>
    </w:rPr>
  </w:style>
  <w:style w:type="paragraph" w:customStyle="1" w:styleId="Osnova5">
    <w:name w:val="Osnova 5"/>
    <w:basedOn w:val="Osnova4"/>
    <w:qFormat/>
    <w:pPr>
      <w:spacing w:before="57"/>
    </w:pPr>
  </w:style>
  <w:style w:type="paragraph" w:customStyle="1" w:styleId="Osnova6">
    <w:name w:val="Osnova 6"/>
    <w:basedOn w:val="Osnova5"/>
    <w:qFormat/>
  </w:style>
  <w:style w:type="paragraph" w:customStyle="1" w:styleId="Osnova7">
    <w:name w:val="Osnova 7"/>
    <w:basedOn w:val="Osnova6"/>
    <w:qFormat/>
  </w:style>
  <w:style w:type="paragraph" w:customStyle="1" w:styleId="Osnova8">
    <w:name w:val="Osnova 8"/>
    <w:basedOn w:val="Osnova7"/>
    <w:qFormat/>
  </w:style>
  <w:style w:type="paragraph" w:customStyle="1" w:styleId="Osnova9">
    <w:name w:val="Osnova 9"/>
    <w:basedOn w:val="Osnova8"/>
    <w:qFormat/>
  </w:style>
  <w:style w:type="paragraph" w:customStyle="1" w:styleId="VchozLTGliederung1">
    <w:name w:val="Výchozí~LT~Gliederung 1"/>
    <w:qFormat/>
    <w:pPr>
      <w:spacing w:before="283" w:line="259" w:lineRule="auto"/>
    </w:pPr>
    <w:rPr>
      <w:rFonts w:ascii="Lucida Sans" w:eastAsia="Tahoma" w:hAnsi="Lucida Sans" w:cs="Arial"/>
      <w:kern w:val="2"/>
      <w:sz w:val="64"/>
      <w:szCs w:val="24"/>
    </w:rPr>
  </w:style>
  <w:style w:type="paragraph" w:customStyle="1" w:styleId="VchozLTGliederung2">
    <w:name w:val="Výchozí~LT~Gliederung 2"/>
    <w:basedOn w:val="VchozLTGliederung1"/>
    <w:qFormat/>
    <w:pPr>
      <w:spacing w:before="227"/>
    </w:pPr>
    <w:rPr>
      <w:sz w:val="56"/>
    </w:rPr>
  </w:style>
  <w:style w:type="paragraph" w:customStyle="1" w:styleId="VchozLTGliederung3">
    <w:name w:val="Výchozí~LT~Gliederung 3"/>
    <w:basedOn w:val="VchozLTGliederung2"/>
    <w:qFormat/>
    <w:pPr>
      <w:spacing w:before="170"/>
    </w:pPr>
    <w:rPr>
      <w:sz w:val="48"/>
    </w:rPr>
  </w:style>
  <w:style w:type="paragraph" w:customStyle="1" w:styleId="VchozLTGliederung4">
    <w:name w:val="Výchozí~LT~Gliederung 4"/>
    <w:basedOn w:val="VchozLTGliederung3"/>
    <w:qFormat/>
    <w:pPr>
      <w:spacing w:before="113"/>
    </w:pPr>
    <w:rPr>
      <w:sz w:val="40"/>
    </w:rPr>
  </w:style>
  <w:style w:type="paragraph" w:customStyle="1" w:styleId="VchozLTGliederung5">
    <w:name w:val="Výchozí~LT~Gliederung 5"/>
    <w:basedOn w:val="VchozLTGliederung4"/>
    <w:qFormat/>
    <w:pPr>
      <w:spacing w:before="57"/>
    </w:pPr>
  </w:style>
  <w:style w:type="paragraph" w:customStyle="1" w:styleId="VchozLTGliederung6">
    <w:name w:val="Výchozí~LT~Gliederung 6"/>
    <w:basedOn w:val="VchozLTGliederung5"/>
    <w:qFormat/>
  </w:style>
  <w:style w:type="paragraph" w:customStyle="1" w:styleId="VchozLTGliederung7">
    <w:name w:val="Výchozí~LT~Gliederung 7"/>
    <w:basedOn w:val="VchozLTGliederung6"/>
    <w:qFormat/>
  </w:style>
  <w:style w:type="paragraph" w:customStyle="1" w:styleId="VchozLTGliederung8">
    <w:name w:val="Výchozí~LT~Gliederung 8"/>
    <w:basedOn w:val="VchozLTGliederung7"/>
    <w:qFormat/>
  </w:style>
  <w:style w:type="paragraph" w:customStyle="1" w:styleId="VchozLTGliederung9">
    <w:name w:val="Výchozí~LT~Gliederung 9"/>
    <w:basedOn w:val="VchozLTGliederung8"/>
    <w:qFormat/>
  </w:style>
  <w:style w:type="paragraph" w:customStyle="1" w:styleId="VchozLTTitel">
    <w:name w:val="Výchozí~LT~Titel"/>
    <w:qFormat/>
    <w:pPr>
      <w:spacing w:after="160" w:line="259" w:lineRule="auto"/>
      <w:jc w:val="center"/>
    </w:pPr>
    <w:rPr>
      <w:rFonts w:ascii="Lucida Sans" w:eastAsia="Tahoma" w:hAnsi="Lucida Sans" w:cs="Arial"/>
      <w:kern w:val="2"/>
      <w:sz w:val="88"/>
      <w:szCs w:val="24"/>
    </w:rPr>
  </w:style>
  <w:style w:type="paragraph" w:customStyle="1" w:styleId="VchozLTUntertitel">
    <w:name w:val="Výchozí~LT~Untertitel"/>
    <w:qFormat/>
    <w:pPr>
      <w:spacing w:after="160" w:line="259" w:lineRule="auto"/>
      <w:jc w:val="center"/>
    </w:pPr>
    <w:rPr>
      <w:rFonts w:ascii="Lucida Sans" w:eastAsia="Tahoma" w:hAnsi="Lucida Sans" w:cs="Arial"/>
      <w:kern w:val="2"/>
      <w:sz w:val="64"/>
      <w:szCs w:val="24"/>
    </w:rPr>
  </w:style>
  <w:style w:type="paragraph" w:customStyle="1" w:styleId="VchozLTNotizen">
    <w:name w:val="Výchozí~LT~Notizen"/>
    <w:qFormat/>
    <w:pPr>
      <w:spacing w:after="160" w:line="259" w:lineRule="auto"/>
      <w:ind w:left="340" w:hanging="340"/>
    </w:pPr>
    <w:rPr>
      <w:rFonts w:ascii="Lucida Sans" w:eastAsia="Tahoma" w:hAnsi="Lucida Sans" w:cs="Arial"/>
      <w:kern w:val="2"/>
      <w:sz w:val="40"/>
      <w:szCs w:val="24"/>
    </w:rPr>
  </w:style>
  <w:style w:type="paragraph" w:customStyle="1" w:styleId="VchozLTHintergrundobjekte">
    <w:name w:val="Výchozí~LT~Hintergrundobjekte"/>
    <w:qFormat/>
    <w:pPr>
      <w:spacing w:after="160" w:line="259" w:lineRule="auto"/>
    </w:pPr>
    <w:rPr>
      <w:rFonts w:ascii="Liberation Serif" w:eastAsia="Tahoma" w:hAnsi="Liberation Serif" w:cs="Arial"/>
      <w:kern w:val="2"/>
      <w:sz w:val="24"/>
      <w:szCs w:val="24"/>
    </w:rPr>
  </w:style>
  <w:style w:type="paragraph" w:customStyle="1" w:styleId="VchozLTHintergrund">
    <w:name w:val="Výchozí~LT~Hintergrund"/>
    <w:qFormat/>
    <w:pPr>
      <w:spacing w:after="160" w:line="259" w:lineRule="auto"/>
    </w:pPr>
    <w:rPr>
      <w:rFonts w:ascii="Liberation Serif" w:eastAsia="Tahoma" w:hAnsi="Liberation Serif" w:cs="Arial"/>
      <w:kern w:val="2"/>
      <w:sz w:val="24"/>
      <w:szCs w:val="24"/>
    </w:rPr>
  </w:style>
  <w:style w:type="paragraph" w:styleId="Bibliografia">
    <w:name w:val="Bibliography"/>
    <w:basedOn w:val="Normalny"/>
    <w:next w:val="Normalny"/>
    <w:qFormat/>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1990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dc:description/>
  <cp:lastModifiedBy>a.wrobel-knysak</cp:lastModifiedBy>
  <cp:revision>2</cp:revision>
  <dcterms:created xsi:type="dcterms:W3CDTF">2023-10-09T13:18:00Z</dcterms:created>
  <dcterms:modified xsi:type="dcterms:W3CDTF">2023-10-09T13:18:00Z</dcterms:modified>
  <dc:language>cs-CZ</dc:language>
</cp:coreProperties>
</file>